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E952E0" w14:textId="2432CCDC" w:rsidR="008A3282" w:rsidRDefault="008A3282" w:rsidP="008A3282">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109-e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220</w:t>
      </w:r>
      <w:r w:rsidR="00E010CE">
        <w:rPr>
          <w:rFonts w:ascii="Arial" w:hAnsi="Arial" w:cs="Arial"/>
          <w:b/>
          <w:bCs/>
        </w:rPr>
        <w:t>426</w:t>
      </w:r>
      <w:r w:rsidR="00FF7BB7">
        <w:rPr>
          <w:rFonts w:ascii="Arial" w:hAnsi="Arial" w:cs="Arial"/>
          <w:b/>
          <w:bCs/>
        </w:rPr>
        <w:t>9</w:t>
      </w:r>
    </w:p>
    <w:p w14:paraId="5A1D4566" w14:textId="77777777" w:rsidR="008A3282" w:rsidRPr="00210D4C" w:rsidRDefault="008A3282" w:rsidP="008A3282">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May 9</w:t>
      </w:r>
      <w:r w:rsidRPr="00521E73">
        <w:rPr>
          <w:rFonts w:ascii="Arial" w:eastAsia="MS Mincho" w:hAnsi="Arial" w:cs="Arial"/>
          <w:b/>
          <w:bCs/>
          <w:vertAlign w:val="superscript"/>
          <w:lang w:eastAsia="ja-JP"/>
        </w:rPr>
        <w:t>t</w:t>
      </w:r>
      <w:r>
        <w:rPr>
          <w:rFonts w:ascii="Arial" w:eastAsia="MS Mincho" w:hAnsi="Arial" w:cs="Arial"/>
          <w:b/>
          <w:bCs/>
          <w:vertAlign w:val="superscript"/>
          <w:lang w:eastAsia="ja-JP"/>
        </w:rPr>
        <w:t>h</w:t>
      </w:r>
      <w:r>
        <w:rPr>
          <w:rFonts w:ascii="Arial" w:eastAsia="MS Mincho" w:hAnsi="Arial" w:cs="Arial"/>
          <w:b/>
          <w:bCs/>
          <w:lang w:eastAsia="ja-JP"/>
        </w:rPr>
        <w:t xml:space="preserve"> – 20</w:t>
      </w:r>
      <w:r w:rsidRPr="001A0981">
        <w:rPr>
          <w:rFonts w:ascii="Arial" w:eastAsia="MS Mincho" w:hAnsi="Arial" w:cs="Arial"/>
          <w:b/>
          <w:bCs/>
          <w:vertAlign w:val="superscript"/>
          <w:lang w:eastAsia="ja-JP"/>
        </w:rPr>
        <w:t>th</w:t>
      </w:r>
      <w:r>
        <w:rPr>
          <w:rFonts w:ascii="Arial" w:eastAsia="MS Mincho" w:hAnsi="Arial" w:cs="Arial"/>
          <w:b/>
          <w:bCs/>
          <w:lang w:eastAsia="ja-JP"/>
        </w:rPr>
        <w:t>, 2022</w:t>
      </w:r>
    </w:p>
    <w:p w14:paraId="1ED9FE78" w14:textId="23C38725" w:rsidR="00210D4C" w:rsidRDefault="00C519C4" w:rsidP="00311702">
      <w:pPr>
        <w:pStyle w:val="3GPPHeader"/>
      </w:pPr>
      <w:r>
        <w:t xml:space="preserve"> </w:t>
      </w:r>
    </w:p>
    <w:p w14:paraId="5FB7E722" w14:textId="3DA5599A" w:rsidR="00E90E49" w:rsidRPr="00CE30E7" w:rsidRDefault="00E90E49" w:rsidP="00311702">
      <w:pPr>
        <w:pStyle w:val="3GPPHeader"/>
      </w:pPr>
      <w:r w:rsidRPr="00CE30E7">
        <w:t>Agenda Item:</w:t>
      </w:r>
      <w:r w:rsidRPr="00CE30E7">
        <w:tab/>
      </w:r>
      <w:r w:rsidR="00FA72BF">
        <w:t>9.</w:t>
      </w:r>
      <w:r w:rsidR="00876848">
        <w:t>12</w:t>
      </w:r>
      <w:r w:rsidR="00FA72BF">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6F3B1F98" w:rsidR="00531215" w:rsidRPr="00CE30E7" w:rsidRDefault="003D3C45" w:rsidP="00311702">
      <w:pPr>
        <w:pStyle w:val="3GPPHeader"/>
      </w:pPr>
      <w:r w:rsidRPr="00CE30E7">
        <w:t>Title:</w:t>
      </w:r>
      <w:r w:rsidR="00E90E49" w:rsidRPr="00CE30E7">
        <w:tab/>
      </w:r>
      <w:r w:rsidR="008A3282">
        <w:t>On</w:t>
      </w:r>
      <w:r w:rsidR="004E60F2">
        <w:t xml:space="preserve"> </w:t>
      </w:r>
      <w:r w:rsidR="00FF7BB7">
        <w:t xml:space="preserve">Improved GNSS Operations </w:t>
      </w:r>
      <w:r w:rsidR="00876848">
        <w:t>for IoT NTN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7045BB0" w14:textId="5A379F96" w:rsidR="008A3282" w:rsidRDefault="008A3282" w:rsidP="008A3282">
      <w:pPr>
        <w:jc w:val="both"/>
      </w:pPr>
      <w:r>
        <w:t>The Release-1</w:t>
      </w:r>
      <w:r w:rsidR="00FA72BF">
        <w:t>8</w:t>
      </w:r>
      <w:r>
        <w:t xml:space="preserve"> </w:t>
      </w:r>
      <w:r w:rsidR="00876848">
        <w:t xml:space="preserve">IoT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FA72BF">
        <w:t>[1]</w:t>
      </w:r>
      <w:r w:rsidR="00FA72BF">
        <w:fldChar w:fldCharType="end"/>
      </w:r>
      <w:r w:rsidR="00876848">
        <w:t xml:space="preserve"> and updated in RAN #95e meeting </w:t>
      </w:r>
      <w:r w:rsidR="00876848">
        <w:fldChar w:fldCharType="begin"/>
      </w:r>
      <w:r w:rsidR="00876848">
        <w:instrText xml:space="preserve"> REF _Ref100217924 \r \h </w:instrText>
      </w:r>
      <w:r w:rsidR="00876848">
        <w:fldChar w:fldCharType="separate"/>
      </w:r>
      <w:r w:rsidR="00876848">
        <w:t>[2]</w:t>
      </w:r>
      <w:r w:rsidR="00876848">
        <w:fldChar w:fldCharType="end"/>
      </w:r>
      <w:r w:rsidR="00876848">
        <w:t>.</w:t>
      </w:r>
    </w:p>
    <w:p w14:paraId="2C6C67B1" w14:textId="41B518FE" w:rsidR="00FA72BF" w:rsidRDefault="00FA72BF" w:rsidP="008A3282">
      <w:pPr>
        <w:jc w:val="both"/>
      </w:pPr>
    </w:p>
    <w:p w14:paraId="5B8CAF55" w14:textId="6D844C52" w:rsidR="00FA72BF" w:rsidRDefault="00FA72BF" w:rsidP="008A3282">
      <w:pPr>
        <w:jc w:val="both"/>
      </w:pPr>
      <w:r>
        <w:t xml:space="preserve">One of the RAN1 objectives is </w:t>
      </w:r>
      <w:r w:rsidR="00FF7BB7">
        <w:t>to study and specify, if needed, improved GNSS operations for a new position fix for UE pre-compensation during long connection times and for reduced power consumption</w:t>
      </w:r>
      <w:r>
        <w:t xml:space="preserve">. </w:t>
      </w:r>
    </w:p>
    <w:p w14:paraId="621BCD91" w14:textId="77777777" w:rsidR="004E60F2" w:rsidRDefault="004E60F2" w:rsidP="004E60F2">
      <w:pPr>
        <w:jc w:val="both"/>
      </w:pPr>
    </w:p>
    <w:p w14:paraId="65E8C13E" w14:textId="30B3731E" w:rsidR="006400C7" w:rsidRPr="006400C7" w:rsidRDefault="006400C7" w:rsidP="00CD60DA">
      <w:pPr>
        <w:jc w:val="both"/>
      </w:pPr>
      <w:r>
        <w:t xml:space="preserve">In this contribution, we </w:t>
      </w:r>
      <w:r w:rsidR="00991887">
        <w:t>provide our views on</w:t>
      </w:r>
      <w:r w:rsidR="00876848">
        <w:t xml:space="preserve"> </w:t>
      </w:r>
      <w:r w:rsidR="00FF7BB7">
        <w:t>improved GNSS operations for a new position fix</w:t>
      </w:r>
      <w:r w:rsidR="00876848">
        <w:t>.</w:t>
      </w:r>
    </w:p>
    <w:p w14:paraId="0C31D433" w14:textId="2C32A731" w:rsidR="002F2A58" w:rsidRDefault="00EA5A5B" w:rsidP="002F2A58">
      <w:pPr>
        <w:pStyle w:val="Heading1"/>
      </w:pPr>
      <w:r>
        <w:t>Discussion</w:t>
      </w:r>
    </w:p>
    <w:p w14:paraId="175B9AA3" w14:textId="48FE9623" w:rsidR="002D78B7" w:rsidRDefault="002D78B7" w:rsidP="00FF7BB7">
      <w:pPr>
        <w:jc w:val="both"/>
      </w:pPr>
      <w:r>
        <w:t xml:space="preserve">In Release-17 IoT NTN, </w:t>
      </w:r>
      <w:r w:rsidR="00FF7BB7">
        <w:t>it is assumed UE is in RRC connected state for sporadic short transmission. One of the reasons for this assumption is that UE does not need to re-acquire GNSS position during its RRC connected state. Basically, before UE moves to RRC connected state, UE acquires GNSS position and applies this GNSS position during the period when UE is in RRC connected state.</w:t>
      </w:r>
    </w:p>
    <w:p w14:paraId="69D2907C" w14:textId="4DFDC1BC" w:rsidR="00FF7BB7" w:rsidRDefault="00FF7BB7" w:rsidP="00FF7BB7">
      <w:pPr>
        <w:jc w:val="both"/>
      </w:pPr>
    </w:p>
    <w:p w14:paraId="3D231CA9" w14:textId="77777777" w:rsidR="0068271E" w:rsidRDefault="00FF7BB7" w:rsidP="00FF7BB7">
      <w:pPr>
        <w:jc w:val="both"/>
        <w:rPr>
          <w:iCs/>
        </w:rPr>
      </w:pPr>
      <w:r>
        <w:t xml:space="preserve">However, this restriction of sporadic short transmission is </w:t>
      </w:r>
      <w:r w:rsidR="0068271E">
        <w:t xml:space="preserve">removed in Release-18 IoT NTN. In other words, an IoT UE may stay in RRC connected state for a duration longer than GNSS validity duration. In Release-17 IoT NTN, it was agreed that UE autonomously determines its GNSS validity duration and reports information associated with this validity duration to network. The possible values of GNSS validity duration are </w:t>
      </w:r>
      <w:r w:rsidR="0068271E" w:rsidRPr="00D42CF6">
        <w:rPr>
          <w:iCs/>
        </w:rPr>
        <w:t>{10s, 20s, 30s, 40s, 50s, 60s, 5 min, 10 min, 15 min, 20 min, 25 min, 30 min, 60 min, 90 min, 120 min, infinity}</w:t>
      </w:r>
      <w:r w:rsidR="0068271E">
        <w:rPr>
          <w:iCs/>
        </w:rPr>
        <w:t xml:space="preserve">. </w:t>
      </w:r>
    </w:p>
    <w:p w14:paraId="7101F9EF" w14:textId="77777777" w:rsidR="0068271E" w:rsidRDefault="0068271E" w:rsidP="00FF7BB7">
      <w:pPr>
        <w:jc w:val="both"/>
        <w:rPr>
          <w:iCs/>
        </w:rPr>
      </w:pPr>
    </w:p>
    <w:p w14:paraId="1AFE173A" w14:textId="59E6CE65" w:rsidR="00FF7BB7" w:rsidRDefault="0068271E" w:rsidP="00FF7BB7">
      <w:pPr>
        <w:jc w:val="both"/>
      </w:pPr>
      <w:r>
        <w:rPr>
          <w:iCs/>
        </w:rPr>
        <w:t xml:space="preserve">If an IoT UE stays in RRC connected state for a duration longer than the GNSS validity duration, then the UE needs to re-acquire GNSS information. On the other hand, the simultaneous GNSS and IoT NTN operation is not assumed in the WID. </w:t>
      </w:r>
      <w:r w:rsidR="00AA28BC">
        <w:rPr>
          <w:iCs/>
        </w:rPr>
        <w:t>One straightforward way for UE to re-acquire GNSS position at the expiry of GNSS information is that UE moves to RRC idle state in order to measure GNSS position. This approach involves a new RACH procedure after UE obtains GNSS position, which may be time and energy consuming. Another way is for network to schedule a GNSS measurement gap for the UE. UE could measure its GNSS position during this period. This approach has small</w:t>
      </w:r>
      <w:r w:rsidR="00F318D0">
        <w:rPr>
          <w:iCs/>
        </w:rPr>
        <w:t xml:space="preserve"> impact on UE performance due to GNSS measurement and is worth to examine.  </w:t>
      </w:r>
    </w:p>
    <w:p w14:paraId="27F9DB98" w14:textId="77777777" w:rsidR="003F245C" w:rsidRDefault="003F245C" w:rsidP="00631345">
      <w:pPr>
        <w:jc w:val="both"/>
      </w:pPr>
    </w:p>
    <w:p w14:paraId="150569A1" w14:textId="0149AC7E" w:rsidR="00FA72BF" w:rsidRDefault="00FA72BF" w:rsidP="00631345">
      <w:pPr>
        <w:jc w:val="both"/>
      </w:pPr>
      <w:r w:rsidRPr="003F245C">
        <w:rPr>
          <w:b/>
          <w:bCs/>
          <w:i/>
          <w:iCs/>
          <w:u w:val="single"/>
        </w:rPr>
        <w:t>Proposal 1:</w:t>
      </w:r>
      <w:r>
        <w:t xml:space="preserve"> </w:t>
      </w:r>
      <w:r w:rsidR="00AA28BC">
        <w:rPr>
          <w:i/>
          <w:iCs/>
        </w:rPr>
        <w:t>RAN1 considers n</w:t>
      </w:r>
      <w:r w:rsidR="00FF7BB7" w:rsidRPr="00FF7BB7">
        <w:rPr>
          <w:i/>
          <w:iCs/>
        </w:rPr>
        <w:t>etwork schedules GNSS measurement gap for UE to re-acquire GNSS position</w:t>
      </w:r>
      <w:r w:rsidR="00800F61">
        <w:rPr>
          <w:i/>
          <w:iCs/>
        </w:rPr>
        <w:t xml:space="preserve"> for long connection time</w:t>
      </w:r>
      <w:r w:rsidR="00FF7BB7">
        <w:rPr>
          <w:i/>
          <w:iCs/>
        </w:rPr>
        <w:t>.</w:t>
      </w:r>
    </w:p>
    <w:p w14:paraId="1DB019BD" w14:textId="44CE7408" w:rsidR="003F245C" w:rsidRDefault="003F245C" w:rsidP="00A324EA">
      <w:pPr>
        <w:jc w:val="both"/>
      </w:pPr>
    </w:p>
    <w:p w14:paraId="3F462954" w14:textId="6B09E211" w:rsidR="00FF7BB7" w:rsidRDefault="00F318D0" w:rsidP="00A324EA">
      <w:pPr>
        <w:jc w:val="both"/>
      </w:pPr>
      <w:r>
        <w:t xml:space="preserve">In order to facilitate network schedule GNSS measurement gap, UE needs to report its capability and related information for GNSS measurement gap. For example, UE may report the GNSS validity </w:t>
      </w:r>
      <w:r>
        <w:lastRenderedPageBreak/>
        <w:t xml:space="preserve">duration, the residual GNSS validity duration and the GNSS measurement time to network. Then network can schedule the corresponding GNSS measurement gap before the expiry of the current GNSS validity timer. The scheduled GNSS measurement gap could be periodic or aperiodic. </w:t>
      </w:r>
    </w:p>
    <w:p w14:paraId="573FF71A" w14:textId="77777777" w:rsidR="00E76D00" w:rsidRDefault="00E76D00" w:rsidP="00631345">
      <w:pPr>
        <w:jc w:val="both"/>
      </w:pPr>
    </w:p>
    <w:p w14:paraId="4A1B8F67" w14:textId="3A49505E" w:rsidR="003F245C" w:rsidRDefault="003F245C" w:rsidP="00FF7BB7">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sidR="00FF7BB7" w:rsidRPr="00FF7BB7">
        <w:rPr>
          <w:i/>
          <w:iCs/>
        </w:rPr>
        <w:t>UE reports GNSS validity duration and GNSS measurement time to network to facilitate the GNSS measurement gap scheduling</w:t>
      </w:r>
      <w:r w:rsidR="00FF7BB7">
        <w:rPr>
          <w:i/>
          <w:iCs/>
        </w:rPr>
        <w:t xml:space="preserve">. </w:t>
      </w:r>
    </w:p>
    <w:p w14:paraId="2C0E361C" w14:textId="77777777" w:rsidR="00F318D0" w:rsidRDefault="00F318D0" w:rsidP="00FF7BB7">
      <w:pPr>
        <w:jc w:val="both"/>
      </w:pPr>
    </w:p>
    <w:p w14:paraId="4A33E2AA" w14:textId="44039151" w:rsidR="00FF7BB7" w:rsidRDefault="00F318D0" w:rsidP="00FF7BB7">
      <w:pPr>
        <w:jc w:val="both"/>
      </w:pPr>
      <w:r>
        <w:t xml:space="preserve">In UE’s RRC connected state, UE may have C-DRX configuration. It is possible the scheduled GNSS measurement gap may occur in the middle of inactive </w:t>
      </w:r>
      <w:r w:rsidR="00461C97">
        <w:t>state</w:t>
      </w:r>
      <w:r>
        <w:t xml:space="preserve"> of UE’s C-DRX. If UE performs GNSS based on the scheduled GNSS measurement gap, it</w:t>
      </w:r>
      <w:r w:rsidR="00461C97">
        <w:t xml:space="preserve"> is a waste since the measured GNSS information is not going to be used in the remaining duration of the inactive state of UE’s C-DRX. For this case, UE may perform GNSS measurement just before UE is on active state, or just after receiving the paging information. Overall, RAN1 needs to consider the interaction between GNSS measurement and C-DRX configuration. </w:t>
      </w:r>
    </w:p>
    <w:p w14:paraId="079E172E" w14:textId="77777777" w:rsidR="00BD0084" w:rsidRDefault="00BD0084" w:rsidP="00631345">
      <w:pPr>
        <w:jc w:val="both"/>
      </w:pPr>
    </w:p>
    <w:p w14:paraId="400D4314" w14:textId="7F8DCA5E" w:rsidR="00A648C1" w:rsidRDefault="00A648C1" w:rsidP="00631345">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sidR="00FF7BB7" w:rsidRPr="00FF7BB7">
        <w:rPr>
          <w:i/>
          <w:iCs/>
        </w:rPr>
        <w:t xml:space="preserve">RAN1 </w:t>
      </w:r>
      <w:r w:rsidR="00800F61">
        <w:rPr>
          <w:i/>
          <w:iCs/>
        </w:rPr>
        <w:t xml:space="preserve">is </w:t>
      </w:r>
      <w:r w:rsidR="00FF7BB7" w:rsidRPr="00FF7BB7">
        <w:rPr>
          <w:i/>
          <w:iCs/>
        </w:rPr>
        <w:t>to consider the interaction between GNSS measurement and C-DRX</w:t>
      </w:r>
      <w:r w:rsidR="00FF7BB7">
        <w:rPr>
          <w:i/>
          <w:iCs/>
        </w:rPr>
        <w:t xml:space="preserve">. </w:t>
      </w:r>
    </w:p>
    <w:p w14:paraId="4989D89D" w14:textId="45D463E4" w:rsidR="00BD0084" w:rsidRDefault="00BD0084" w:rsidP="000F334F">
      <w:pPr>
        <w:jc w:val="both"/>
        <w:rPr>
          <w:iCs/>
        </w:rPr>
      </w:pPr>
    </w:p>
    <w:p w14:paraId="2896E657" w14:textId="2DF29AD0" w:rsidR="00854A60" w:rsidRPr="00A6576F" w:rsidRDefault="009C5A97" w:rsidP="00FB330B">
      <w:pPr>
        <w:pStyle w:val="Heading1"/>
      </w:pPr>
      <w:r w:rsidRPr="00A6576F">
        <w:t>Conclusion</w:t>
      </w:r>
    </w:p>
    <w:p w14:paraId="7973EDF6" w14:textId="00F7BF6A" w:rsidR="0064641E" w:rsidRDefault="00A04318" w:rsidP="00BB4346">
      <w:pPr>
        <w:jc w:val="both"/>
      </w:pPr>
      <w:r>
        <w:t xml:space="preserve">In this contribution, </w:t>
      </w:r>
      <w:r w:rsidR="00F2767C">
        <w:t>we provided our views on</w:t>
      </w:r>
      <w:r w:rsidR="00FF7BB7">
        <w:t xml:space="preserve"> i</w:t>
      </w:r>
      <w:r w:rsidR="00FF7BB7" w:rsidRPr="00FF7BB7">
        <w:t xml:space="preserve">mproved GNSS </w:t>
      </w:r>
      <w:r w:rsidR="00FF7BB7">
        <w:t>o</w:t>
      </w:r>
      <w:r w:rsidR="00FF7BB7" w:rsidRPr="00FF7BB7">
        <w:t>perations</w:t>
      </w:r>
      <w:r w:rsidR="00FF7BB7">
        <w:t xml:space="preserve"> </w:t>
      </w:r>
      <w:r w:rsidR="00E76D00">
        <w:t>for IoT NTN</w:t>
      </w:r>
      <w:r w:rsidR="00F2767C">
        <w:t xml:space="preserve">. </w:t>
      </w:r>
      <w:r>
        <w:t>Our</w:t>
      </w:r>
      <w:r w:rsidR="000D011A">
        <w:t xml:space="preserve"> </w:t>
      </w:r>
      <w:r>
        <w:t>proposals are as follows:</w:t>
      </w:r>
    </w:p>
    <w:p w14:paraId="46540647" w14:textId="15D4AABA" w:rsidR="000D011A" w:rsidRDefault="000D011A" w:rsidP="00BB4346">
      <w:pPr>
        <w:jc w:val="both"/>
      </w:pPr>
    </w:p>
    <w:p w14:paraId="3CDDC1B5" w14:textId="026B0C02" w:rsidR="00800F61" w:rsidRDefault="00800F61" w:rsidP="00800F61">
      <w:pPr>
        <w:jc w:val="both"/>
      </w:pPr>
      <w:r w:rsidRPr="003F245C">
        <w:rPr>
          <w:b/>
          <w:bCs/>
          <w:i/>
          <w:iCs/>
          <w:u w:val="single"/>
        </w:rPr>
        <w:t>Proposal 1:</w:t>
      </w:r>
      <w:r>
        <w:t xml:space="preserve"> </w:t>
      </w:r>
      <w:r>
        <w:rPr>
          <w:i/>
          <w:iCs/>
        </w:rPr>
        <w:t>RAN1 considers n</w:t>
      </w:r>
      <w:r w:rsidRPr="00FF7BB7">
        <w:rPr>
          <w:i/>
          <w:iCs/>
        </w:rPr>
        <w:t>etwork schedules GNSS measurement gap for UE to re-acquire GNSS position</w:t>
      </w:r>
      <w:r>
        <w:rPr>
          <w:i/>
          <w:iCs/>
        </w:rPr>
        <w:t xml:space="preserve"> for long connection time.</w:t>
      </w:r>
    </w:p>
    <w:p w14:paraId="1AA64EFB" w14:textId="77777777" w:rsidR="00FF7BB7" w:rsidRDefault="00FF7BB7" w:rsidP="00BB4346">
      <w:pPr>
        <w:jc w:val="both"/>
      </w:pPr>
    </w:p>
    <w:p w14:paraId="7C391ACE" w14:textId="7CF36C9A" w:rsidR="00FF7BB7" w:rsidRDefault="00FF7BB7" w:rsidP="00FF7BB7">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sidRPr="00FF7BB7">
        <w:rPr>
          <w:i/>
          <w:iCs/>
        </w:rPr>
        <w:t>UE reports GNSS validity duration and GNSS measurement time to network to facilitate the GNSS measurement gap scheduling</w:t>
      </w:r>
      <w:r>
        <w:rPr>
          <w:i/>
          <w:iCs/>
        </w:rPr>
        <w:t>.</w:t>
      </w:r>
    </w:p>
    <w:p w14:paraId="6C00F80E" w14:textId="77777777" w:rsidR="00FF7BB7" w:rsidRDefault="00FF7BB7" w:rsidP="00BB4346">
      <w:pPr>
        <w:jc w:val="both"/>
      </w:pPr>
    </w:p>
    <w:p w14:paraId="6881D8DF" w14:textId="3E495118" w:rsidR="00FF7BB7" w:rsidRDefault="00FF7BB7" w:rsidP="00FF7BB7">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sidRPr="00FF7BB7">
        <w:rPr>
          <w:i/>
          <w:iCs/>
        </w:rPr>
        <w:t>RAN1</w:t>
      </w:r>
      <w:r w:rsidR="00800F61">
        <w:rPr>
          <w:i/>
          <w:iCs/>
        </w:rPr>
        <w:t xml:space="preserve"> is</w:t>
      </w:r>
      <w:r w:rsidRPr="00FF7BB7">
        <w:rPr>
          <w:i/>
          <w:iCs/>
        </w:rPr>
        <w:t xml:space="preserve"> to consider the interaction between GNSS measurement and C-DRX</w:t>
      </w:r>
      <w:r>
        <w:rPr>
          <w:i/>
          <w:iCs/>
        </w:rPr>
        <w:t xml:space="preserve">. </w:t>
      </w:r>
    </w:p>
    <w:p w14:paraId="5C585D55" w14:textId="77777777" w:rsidR="008A7FB0" w:rsidRPr="008A7FB0" w:rsidRDefault="008A7FB0" w:rsidP="00A50B92">
      <w:pPr>
        <w:jc w:val="both"/>
      </w:pPr>
    </w:p>
    <w:p w14:paraId="2E75F001" w14:textId="77777777" w:rsidR="007E70BB" w:rsidRPr="00A6576F" w:rsidRDefault="005C63AE" w:rsidP="007E70BB">
      <w:pPr>
        <w:pStyle w:val="Heading1"/>
      </w:pPr>
      <w:r w:rsidRPr="00A6576F">
        <w:t>References</w:t>
      </w:r>
    </w:p>
    <w:p w14:paraId="6D9F75FD" w14:textId="5B281793" w:rsidR="00876848" w:rsidRDefault="00876848"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OLE_LINK1"/>
      <w:bookmarkStart w:id="1" w:name="OLE_LINK2"/>
      <w:bookmarkStart w:id="2" w:name="_Ref99716514"/>
      <w:bookmarkStart w:id="3" w:name="_Ref46220695"/>
      <w:r>
        <w:t>RP-213596, “New WID on IoT NTN enhancements,” Dec. 2021.</w:t>
      </w:r>
    </w:p>
    <w:p w14:paraId="1DE0AF17" w14:textId="3A9BB4B2" w:rsidR="008D511F" w:rsidRPr="00876848" w:rsidRDefault="00FA72BF" w:rsidP="00FF7BB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100217924"/>
      <w:r w:rsidRPr="00FA72BF">
        <w:t>RP-2</w:t>
      </w:r>
      <w:bookmarkEnd w:id="0"/>
      <w:bookmarkEnd w:id="1"/>
      <w:r w:rsidR="00876848">
        <w:t>20979</w:t>
      </w:r>
      <w:r>
        <w:t>, “</w:t>
      </w:r>
      <w:r w:rsidR="00876848">
        <w:t>Revised</w:t>
      </w:r>
      <w:r>
        <w:t xml:space="preserve"> WID on </w:t>
      </w:r>
      <w:r w:rsidR="00876848">
        <w:t>IoT NTN enhancements</w:t>
      </w:r>
      <w:r>
        <w:t xml:space="preserve">,” </w:t>
      </w:r>
      <w:r w:rsidR="00876848">
        <w:t>Mar</w:t>
      </w:r>
      <w:r>
        <w:t>. 202</w:t>
      </w:r>
      <w:r w:rsidR="00876848">
        <w:t>2</w:t>
      </w:r>
      <w:r>
        <w:t>.</w:t>
      </w:r>
      <w:bookmarkEnd w:id="2"/>
      <w:bookmarkEnd w:id="4"/>
      <w:r>
        <w:t xml:space="preserve"> </w:t>
      </w:r>
      <w:bookmarkEnd w:id="3"/>
    </w:p>
    <w:sectPr w:rsidR="008D511F" w:rsidRPr="00876848"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ABB5DF" w14:textId="77777777" w:rsidR="00984C75" w:rsidRDefault="00984C75">
      <w:r>
        <w:separator/>
      </w:r>
    </w:p>
  </w:endnote>
  <w:endnote w:type="continuationSeparator" w:id="0">
    <w:p w14:paraId="280AB36E" w14:textId="77777777" w:rsidR="00984C75" w:rsidRDefault="00984C75">
      <w:r>
        <w:continuationSeparator/>
      </w:r>
    </w:p>
  </w:endnote>
  <w:endnote w:type="continuationNotice" w:id="1">
    <w:p w14:paraId="30BD3024" w14:textId="77777777" w:rsidR="00984C75" w:rsidRDefault="00984C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alibri"/>
    <w:panose1 w:val="020B0604020202020204"/>
    <w:charset w:val="00"/>
    <w:family w:val="auto"/>
    <w:pitch w:val="variable"/>
    <w:sig w:usb0="00000001" w:usb1="40000000"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notTrueType/>
    <w:pitch w:val="fixed"/>
    <w:sig w:usb0="00000001" w:usb1="08070000" w:usb2="00000010" w:usb3="00000000" w:csb0="00020000" w:csb1="00000000"/>
  </w:font>
  <w:font w:name="Gulim">
    <w:altName w:val="굴림"/>
    <w:panose1 w:val="020B0600000101010101"/>
    <w:charset w:val="81"/>
    <w:family w:val="swiss"/>
    <w:notTrueType/>
    <w:pitch w:val="variable"/>
    <w:sig w:usb0="00000001"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4DD5A" w14:textId="77777777" w:rsidR="00984C75" w:rsidRDefault="00984C75">
      <w:r>
        <w:separator/>
      </w:r>
    </w:p>
  </w:footnote>
  <w:footnote w:type="continuationSeparator" w:id="0">
    <w:p w14:paraId="0A2B96F1" w14:textId="77777777" w:rsidR="00984C75" w:rsidRDefault="00984C75">
      <w:r>
        <w:continuationSeparator/>
      </w:r>
    </w:p>
  </w:footnote>
  <w:footnote w:type="continuationNotice" w:id="1">
    <w:p w14:paraId="50F15841" w14:textId="77777777" w:rsidR="00984C75" w:rsidRDefault="00984C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F80F3E"/>
    <w:multiLevelType w:val="hybridMultilevel"/>
    <w:tmpl w:val="495E32D8"/>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034422"/>
    <w:multiLevelType w:val="hybridMultilevel"/>
    <w:tmpl w:val="035E9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92C2A"/>
    <w:multiLevelType w:val="hybridMultilevel"/>
    <w:tmpl w:val="EDD49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77D18"/>
    <w:multiLevelType w:val="hybridMultilevel"/>
    <w:tmpl w:val="B79C7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668BE"/>
    <w:multiLevelType w:val="hybridMultilevel"/>
    <w:tmpl w:val="060C4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1777CB"/>
    <w:multiLevelType w:val="hybridMultilevel"/>
    <w:tmpl w:val="F0629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20BD8"/>
    <w:multiLevelType w:val="hybridMultilevel"/>
    <w:tmpl w:val="3BAEC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04DBC"/>
    <w:multiLevelType w:val="hybridMultilevel"/>
    <w:tmpl w:val="CF602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3D1FDD"/>
    <w:multiLevelType w:val="hybridMultilevel"/>
    <w:tmpl w:val="DDF49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675E7F"/>
    <w:multiLevelType w:val="hybridMultilevel"/>
    <w:tmpl w:val="FB185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8437C7"/>
    <w:multiLevelType w:val="hybridMultilevel"/>
    <w:tmpl w:val="325E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AD5C2E"/>
    <w:multiLevelType w:val="hybridMultilevel"/>
    <w:tmpl w:val="63589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277DE1"/>
    <w:multiLevelType w:val="hybridMultilevel"/>
    <w:tmpl w:val="01989096"/>
    <w:lvl w:ilvl="0" w:tplc="9FBA1AE2">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2" w15:restartNumberingAfterBreak="0">
    <w:nsid w:val="3B4C24BC"/>
    <w:multiLevelType w:val="hybridMultilevel"/>
    <w:tmpl w:val="17883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6C1B9D"/>
    <w:multiLevelType w:val="hybridMultilevel"/>
    <w:tmpl w:val="F7CE2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8A2EF8"/>
    <w:multiLevelType w:val="hybridMultilevel"/>
    <w:tmpl w:val="43F43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76E17EF"/>
    <w:multiLevelType w:val="hybridMultilevel"/>
    <w:tmpl w:val="D2ACA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DA4A88"/>
    <w:multiLevelType w:val="hybridMultilevel"/>
    <w:tmpl w:val="16423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AC4ED2"/>
    <w:multiLevelType w:val="hybridMultilevel"/>
    <w:tmpl w:val="93BE5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586581"/>
    <w:multiLevelType w:val="hybridMultilevel"/>
    <w:tmpl w:val="B64E8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17F0A7C"/>
    <w:multiLevelType w:val="hybridMultilevel"/>
    <w:tmpl w:val="F67A4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3D6FD5"/>
    <w:multiLevelType w:val="hybridMultilevel"/>
    <w:tmpl w:val="6046B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77044B"/>
    <w:multiLevelType w:val="hybridMultilevel"/>
    <w:tmpl w:val="FD0C39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293783"/>
    <w:multiLevelType w:val="hybridMultilevel"/>
    <w:tmpl w:val="B0DA1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06730B"/>
    <w:multiLevelType w:val="hybridMultilevel"/>
    <w:tmpl w:val="F0B85FF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F4EE0B34">
      <w:start w:val="1"/>
      <w:numFmt w:val="bullet"/>
      <w:lvlText w:val=""/>
      <w:lvlJc w:val="left"/>
      <w:pPr>
        <w:ind w:left="1200" w:hanging="400"/>
      </w:pPr>
      <w:rPr>
        <w:rFonts w:ascii="Wingdings" w:hAnsi="Wingdings" w:hint="default"/>
        <w:lang w:val="en-US"/>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5" w15:restartNumberingAfterBreak="0">
    <w:nsid w:val="786B785D"/>
    <w:multiLevelType w:val="hybridMultilevel"/>
    <w:tmpl w:val="C7964184"/>
    <w:lvl w:ilvl="0" w:tplc="9FBA1AE2">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15:restartNumberingAfterBreak="0">
    <w:nsid w:val="7ECD49AB"/>
    <w:multiLevelType w:val="hybridMultilevel"/>
    <w:tmpl w:val="F1586A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3"/>
  </w:num>
  <w:num w:numId="3">
    <w:abstractNumId w:val="21"/>
  </w:num>
  <w:num w:numId="4">
    <w:abstractNumId w:val="23"/>
  </w:num>
  <w:num w:numId="5">
    <w:abstractNumId w:val="18"/>
  </w:num>
  <w:num w:numId="6">
    <w:abstractNumId w:val="27"/>
  </w:num>
  <w:num w:numId="7">
    <w:abstractNumId w:val="36"/>
  </w:num>
  <w:num w:numId="8">
    <w:abstractNumId w:val="19"/>
  </w:num>
  <w:num w:numId="9">
    <w:abstractNumId w:val="34"/>
  </w:num>
  <w:num w:numId="10">
    <w:abstractNumId w:val="1"/>
  </w:num>
  <w:num w:numId="11">
    <w:abstractNumId w:val="26"/>
  </w:num>
  <w:num w:numId="12">
    <w:abstractNumId w:val="28"/>
  </w:num>
  <w:num w:numId="13">
    <w:abstractNumId w:val="43"/>
  </w:num>
  <w:num w:numId="14">
    <w:abstractNumId w:val="45"/>
  </w:num>
  <w:num w:numId="15">
    <w:abstractNumId w:val="20"/>
  </w:num>
  <w:num w:numId="16">
    <w:abstractNumId w:val="47"/>
  </w:num>
  <w:num w:numId="17">
    <w:abstractNumId w:val="14"/>
  </w:num>
  <w:num w:numId="18">
    <w:abstractNumId w:val="3"/>
  </w:num>
  <w:num w:numId="19">
    <w:abstractNumId w:val="24"/>
  </w:num>
  <w:num w:numId="20">
    <w:abstractNumId w:val="40"/>
  </w:num>
  <w:num w:numId="21">
    <w:abstractNumId w:val="38"/>
  </w:num>
  <w:num w:numId="22">
    <w:abstractNumId w:val="42"/>
  </w:num>
  <w:num w:numId="23">
    <w:abstractNumId w:val="8"/>
  </w:num>
  <w:num w:numId="24">
    <w:abstractNumId w:val="5"/>
  </w:num>
  <w:num w:numId="25">
    <w:abstractNumId w:val="32"/>
  </w:num>
  <w:num w:numId="26">
    <w:abstractNumId w:val="35"/>
  </w:num>
  <w:num w:numId="27">
    <w:abstractNumId w:val="4"/>
  </w:num>
  <w:num w:numId="28">
    <w:abstractNumId w:val="7"/>
  </w:num>
  <w:num w:numId="29">
    <w:abstractNumId w:val="11"/>
  </w:num>
  <w:num w:numId="30">
    <w:abstractNumId w:val="39"/>
  </w:num>
  <w:num w:numId="31">
    <w:abstractNumId w:val="30"/>
  </w:num>
  <w:num w:numId="32">
    <w:abstractNumId w:val="15"/>
  </w:num>
  <w:num w:numId="33">
    <w:abstractNumId w:val="9"/>
  </w:num>
  <w:num w:numId="34">
    <w:abstractNumId w:val="31"/>
  </w:num>
  <w:num w:numId="35">
    <w:abstractNumId w:val="10"/>
  </w:num>
  <w:num w:numId="36">
    <w:abstractNumId w:val="37"/>
  </w:num>
  <w:num w:numId="37">
    <w:abstractNumId w:val="44"/>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2"/>
  </w:num>
  <w:num w:numId="40">
    <w:abstractNumId w:val="16"/>
  </w:num>
  <w:num w:numId="41">
    <w:abstractNumId w:val="22"/>
  </w:num>
  <w:num w:numId="42">
    <w:abstractNumId w:val="13"/>
  </w:num>
  <w:num w:numId="43">
    <w:abstractNumId w:val="6"/>
  </w:num>
  <w:num w:numId="44">
    <w:abstractNumId w:val="41"/>
  </w:num>
  <w:num w:numId="45">
    <w:abstractNumId w:val="25"/>
  </w:num>
  <w:num w:numId="46">
    <w:abstractNumId w:val="29"/>
  </w:num>
  <w:num w:numId="47">
    <w:abstractNumId w:val="46"/>
  </w:num>
  <w:num w:numId="48">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BE9"/>
    <w:rsid w:val="000F3F6C"/>
    <w:rsid w:val="000F4676"/>
    <w:rsid w:val="000F4E73"/>
    <w:rsid w:val="000F5184"/>
    <w:rsid w:val="000F63FD"/>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4B1"/>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DBF"/>
    <w:rsid w:val="00276561"/>
    <w:rsid w:val="00276B58"/>
    <w:rsid w:val="00276D7F"/>
    <w:rsid w:val="0027777C"/>
    <w:rsid w:val="0028055F"/>
    <w:rsid w:val="002805F5"/>
    <w:rsid w:val="00280751"/>
    <w:rsid w:val="00280EBF"/>
    <w:rsid w:val="002818AE"/>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D23"/>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59BA"/>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ADD"/>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C97"/>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83C"/>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71E"/>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800F61"/>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C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8BC"/>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159A"/>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A41"/>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0CE"/>
    <w:rsid w:val="00E012C0"/>
    <w:rsid w:val="00E0139C"/>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18D0"/>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 w:val="00FF7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34"/>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Pages>
  <Words>653</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2022-04-29T05:14:00Z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